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7C4" w:rsidRPr="000B2F06" w:rsidRDefault="002467C4" w:rsidP="007E7913">
      <w:pPr>
        <w:spacing w:before="100" w:beforeAutospacing="1" w:after="100" w:afterAutospacing="1" w:line="480" w:lineRule="auto"/>
        <w:jc w:val="center"/>
        <w:rPr>
          <w:rFonts w:ascii="Times New Roman" w:eastAsia="Times New Roman" w:hAnsi="Times New Roman" w:cs="Times New Roman"/>
          <w:b/>
          <w:color w:val="000000" w:themeColor="text1"/>
        </w:rPr>
      </w:pPr>
    </w:p>
    <w:p w:rsidR="002467C4" w:rsidRPr="000B2F06" w:rsidRDefault="002467C4" w:rsidP="000F6A3E">
      <w:pPr>
        <w:spacing w:before="100" w:beforeAutospacing="1" w:after="100" w:afterAutospacing="1" w:line="480" w:lineRule="auto"/>
        <w:rPr>
          <w:rFonts w:ascii="Times New Roman" w:eastAsia="Times New Roman" w:hAnsi="Times New Roman" w:cs="Times New Roman"/>
          <w:b/>
          <w:color w:val="000000" w:themeColor="text1"/>
        </w:rPr>
      </w:pPr>
    </w:p>
    <w:p w:rsidR="002467C4" w:rsidRDefault="00642CA3" w:rsidP="000F6A3E">
      <w:pPr>
        <w:spacing w:before="100" w:beforeAutospacing="1" w:after="100" w:afterAutospacing="1" w:line="480" w:lineRule="auto"/>
        <w:jc w:val="center"/>
        <w:rPr>
          <w:rFonts w:ascii="Times New Roman" w:eastAsia="Times New Roman" w:hAnsi="Times New Roman" w:cs="Times New Roman"/>
          <w:b/>
          <w:color w:val="000000" w:themeColor="text1"/>
        </w:rPr>
      </w:pPr>
      <w:r w:rsidRPr="000B2F06">
        <w:rPr>
          <w:rFonts w:ascii="Times New Roman" w:eastAsia="Times New Roman" w:hAnsi="Times New Roman" w:cs="Times New Roman"/>
          <w:b/>
          <w:color w:val="000000" w:themeColor="text1"/>
        </w:rPr>
        <w:t xml:space="preserve">Power in Organizations </w:t>
      </w:r>
    </w:p>
    <w:p w:rsidR="000F6A3E" w:rsidRPr="000F6A3E" w:rsidRDefault="000F6A3E" w:rsidP="000F6A3E">
      <w:pPr>
        <w:spacing w:before="100" w:beforeAutospacing="1" w:after="100" w:afterAutospacing="1" w:line="480" w:lineRule="auto"/>
        <w:jc w:val="center"/>
        <w:rPr>
          <w:rFonts w:ascii="Times New Roman" w:eastAsia="Times New Roman" w:hAnsi="Times New Roman" w:cs="Times New Roman"/>
          <w:b/>
          <w:color w:val="000000" w:themeColor="text1"/>
        </w:rPr>
      </w:pPr>
    </w:p>
    <w:p w:rsidR="002467C4" w:rsidRPr="000B2F06" w:rsidRDefault="00642CA3" w:rsidP="007E7913">
      <w:pPr>
        <w:spacing w:before="100" w:beforeAutospacing="1" w:after="100" w:afterAutospacing="1" w:line="480" w:lineRule="auto"/>
        <w:jc w:val="center"/>
        <w:rPr>
          <w:rFonts w:ascii="Times New Roman" w:eastAsia="Times New Roman" w:hAnsi="Times New Roman" w:cs="Times New Roman"/>
          <w:color w:val="000000" w:themeColor="text1"/>
        </w:rPr>
      </w:pPr>
      <w:r w:rsidRPr="000B2F06">
        <w:rPr>
          <w:rFonts w:ascii="Times New Roman" w:eastAsia="Times New Roman" w:hAnsi="Times New Roman" w:cs="Times New Roman"/>
          <w:color w:val="000000" w:themeColor="text1"/>
        </w:rPr>
        <w:t xml:space="preserve">Name </w:t>
      </w:r>
    </w:p>
    <w:p w:rsidR="002467C4" w:rsidRPr="000B2F06" w:rsidRDefault="00642CA3" w:rsidP="007E7913">
      <w:pPr>
        <w:spacing w:before="100" w:beforeAutospacing="1" w:after="100" w:afterAutospacing="1" w:line="480" w:lineRule="auto"/>
        <w:jc w:val="center"/>
        <w:rPr>
          <w:rFonts w:ascii="Times New Roman" w:eastAsia="Times New Roman" w:hAnsi="Times New Roman" w:cs="Times New Roman"/>
          <w:color w:val="000000" w:themeColor="text1"/>
        </w:rPr>
      </w:pPr>
      <w:r w:rsidRPr="000B2F06">
        <w:rPr>
          <w:rFonts w:ascii="Times New Roman" w:eastAsia="Times New Roman" w:hAnsi="Times New Roman" w:cs="Times New Roman"/>
          <w:color w:val="000000" w:themeColor="text1"/>
        </w:rPr>
        <w:t xml:space="preserve">Institution </w:t>
      </w:r>
    </w:p>
    <w:p w:rsidR="002467C4" w:rsidRPr="000B2F06" w:rsidRDefault="00642CA3" w:rsidP="007E7913">
      <w:pPr>
        <w:spacing w:before="100" w:beforeAutospacing="1" w:after="100" w:afterAutospacing="1" w:line="480" w:lineRule="auto"/>
        <w:jc w:val="center"/>
        <w:rPr>
          <w:rFonts w:ascii="Times New Roman" w:eastAsia="Times New Roman" w:hAnsi="Times New Roman" w:cs="Times New Roman"/>
          <w:color w:val="000000" w:themeColor="text1"/>
        </w:rPr>
      </w:pPr>
      <w:r w:rsidRPr="000B2F06">
        <w:rPr>
          <w:rFonts w:ascii="Times New Roman" w:eastAsia="Times New Roman" w:hAnsi="Times New Roman" w:cs="Times New Roman"/>
          <w:color w:val="000000" w:themeColor="text1"/>
        </w:rPr>
        <w:t xml:space="preserve">Course </w:t>
      </w:r>
    </w:p>
    <w:p w:rsidR="002467C4" w:rsidRPr="000B2F06" w:rsidRDefault="00642CA3" w:rsidP="007E7913">
      <w:pPr>
        <w:spacing w:before="100" w:beforeAutospacing="1" w:after="100" w:afterAutospacing="1" w:line="480" w:lineRule="auto"/>
        <w:jc w:val="center"/>
        <w:rPr>
          <w:rFonts w:ascii="Times New Roman" w:eastAsia="Times New Roman" w:hAnsi="Times New Roman" w:cs="Times New Roman"/>
          <w:color w:val="000000" w:themeColor="text1"/>
        </w:rPr>
      </w:pPr>
      <w:r w:rsidRPr="000B2F06">
        <w:rPr>
          <w:rFonts w:ascii="Times New Roman" w:eastAsia="Times New Roman" w:hAnsi="Times New Roman" w:cs="Times New Roman"/>
          <w:color w:val="000000" w:themeColor="text1"/>
        </w:rPr>
        <w:t xml:space="preserve">Instructor </w:t>
      </w:r>
    </w:p>
    <w:p w:rsidR="002467C4" w:rsidRPr="000B2F06" w:rsidRDefault="00642CA3" w:rsidP="007E7913">
      <w:pPr>
        <w:spacing w:before="100" w:beforeAutospacing="1" w:after="100" w:afterAutospacing="1" w:line="480" w:lineRule="auto"/>
        <w:jc w:val="center"/>
        <w:rPr>
          <w:rFonts w:ascii="Times New Roman" w:eastAsia="Times New Roman" w:hAnsi="Times New Roman" w:cs="Times New Roman"/>
          <w:color w:val="000000" w:themeColor="text1"/>
        </w:rPr>
      </w:pPr>
      <w:r w:rsidRPr="000B2F06">
        <w:rPr>
          <w:rFonts w:ascii="Times New Roman" w:eastAsia="Times New Roman" w:hAnsi="Times New Roman" w:cs="Times New Roman"/>
          <w:color w:val="000000" w:themeColor="text1"/>
        </w:rPr>
        <w:t xml:space="preserve">Due Date </w:t>
      </w:r>
    </w:p>
    <w:p w:rsidR="00494B12" w:rsidRPr="000B2F06" w:rsidRDefault="00494B12" w:rsidP="007E7913">
      <w:pPr>
        <w:spacing w:before="100" w:beforeAutospacing="1" w:after="100" w:afterAutospacing="1" w:line="480" w:lineRule="auto"/>
        <w:rPr>
          <w:rFonts w:ascii="Times New Roman" w:eastAsia="Times New Roman" w:hAnsi="Times New Roman" w:cs="Times New Roman"/>
          <w:color w:val="000000" w:themeColor="text1"/>
        </w:rPr>
      </w:pPr>
    </w:p>
    <w:p w:rsidR="00494B12" w:rsidRPr="000B2F06" w:rsidRDefault="00494B12" w:rsidP="007E7913">
      <w:pPr>
        <w:spacing w:before="100" w:beforeAutospacing="1" w:after="100" w:afterAutospacing="1" w:line="480" w:lineRule="auto"/>
        <w:rPr>
          <w:rFonts w:ascii="Times New Roman" w:eastAsia="Times New Roman" w:hAnsi="Times New Roman" w:cs="Times New Roman"/>
          <w:color w:val="000000" w:themeColor="text1"/>
        </w:rPr>
      </w:pPr>
    </w:p>
    <w:p w:rsidR="00494B12" w:rsidRPr="000B2F06" w:rsidRDefault="00494B12" w:rsidP="007E7913">
      <w:pPr>
        <w:spacing w:before="100" w:beforeAutospacing="1" w:after="100" w:afterAutospacing="1" w:line="480" w:lineRule="auto"/>
        <w:rPr>
          <w:rFonts w:ascii="Times New Roman" w:eastAsia="Times New Roman" w:hAnsi="Times New Roman" w:cs="Times New Roman"/>
          <w:color w:val="000000" w:themeColor="text1"/>
        </w:rPr>
      </w:pPr>
    </w:p>
    <w:p w:rsidR="00CE3B43" w:rsidRPr="000B2F06" w:rsidRDefault="00CE3B43" w:rsidP="007E7913">
      <w:pPr>
        <w:spacing w:before="100" w:beforeAutospacing="1" w:after="100" w:afterAutospacing="1" w:line="480" w:lineRule="auto"/>
        <w:rPr>
          <w:rFonts w:ascii="Times New Roman" w:eastAsia="Times New Roman" w:hAnsi="Times New Roman" w:cs="Times New Roman"/>
          <w:color w:val="000000" w:themeColor="text1"/>
        </w:rPr>
      </w:pPr>
    </w:p>
    <w:p w:rsidR="000F6A3E" w:rsidRDefault="00642CA3">
      <w:pPr>
        <w:spacing w:after="200" w:line="276" w:lineRule="auto"/>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br w:type="page"/>
      </w:r>
    </w:p>
    <w:p w:rsidR="00CE3B43" w:rsidRDefault="00642CA3" w:rsidP="000F6A3E">
      <w:pPr>
        <w:spacing w:before="100" w:beforeAutospacing="1" w:after="100" w:afterAutospacing="1" w:line="480" w:lineRule="auto"/>
        <w:jc w:val="center"/>
        <w:rPr>
          <w:rFonts w:ascii="Times New Roman" w:eastAsia="Times New Roman" w:hAnsi="Times New Roman" w:cs="Times New Roman"/>
          <w:b/>
          <w:color w:val="000000" w:themeColor="text1"/>
        </w:rPr>
      </w:pPr>
      <w:r w:rsidRPr="000B2F06">
        <w:rPr>
          <w:rFonts w:ascii="Times New Roman" w:eastAsia="Times New Roman" w:hAnsi="Times New Roman" w:cs="Times New Roman"/>
          <w:b/>
          <w:color w:val="000000" w:themeColor="text1"/>
        </w:rPr>
        <w:lastRenderedPageBreak/>
        <w:t xml:space="preserve">Power in Organizations </w:t>
      </w:r>
    </w:p>
    <w:p w:rsidR="00970154" w:rsidRPr="000F6A3E" w:rsidRDefault="00642CA3" w:rsidP="00970154">
      <w:pPr>
        <w:spacing w:before="100" w:beforeAutospacing="1" w:after="100" w:afterAutospacing="1" w:line="480" w:lineRule="auto"/>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Question 1</w:t>
      </w:r>
    </w:p>
    <w:p w:rsidR="007E7913" w:rsidRDefault="00642CA3" w:rsidP="007E7913">
      <w:pPr>
        <w:pStyle w:val="root-block-node"/>
        <w:spacing w:line="480" w:lineRule="auto"/>
        <w:ind w:firstLine="720"/>
      </w:pPr>
      <w:r>
        <w:t xml:space="preserve">There are six types of power available to individuals. These forms include referent, information, reward, expert, coercive, and legitimate power, also known as informational power. </w:t>
      </w:r>
      <w:r w:rsidR="006D4C8F">
        <w:t>Normally, i</w:t>
      </w:r>
      <w:r>
        <w:t>ndividuals use influence strategies to try and influence one ano</w:t>
      </w:r>
      <w:r>
        <w:t>ther in organizations.</w:t>
      </w:r>
      <w:r w:rsidR="006D4C8F">
        <w:t xml:space="preserve"> </w:t>
      </w:r>
      <w:r>
        <w:t xml:space="preserve">Organizational politics refers to a wide range of actions related to the employment of influence tactics to advance personal or organizational objectives. </w:t>
      </w:r>
      <w:r w:rsidR="006D4C8F">
        <w:t>Mostly, i</w:t>
      </w:r>
      <w:r w:rsidR="000D1E9F">
        <w:t xml:space="preserve">nformal together with </w:t>
      </w:r>
      <w:r>
        <w:t xml:space="preserve">unofficial, and </w:t>
      </w:r>
      <w:r w:rsidR="000D1E9F">
        <w:t>often</w:t>
      </w:r>
      <w:r>
        <w:t xml:space="preserve"> covert attempts to spread ideas, i</w:t>
      </w:r>
      <w:r>
        <w:t xml:space="preserve">nfluence </w:t>
      </w:r>
      <w:r w:rsidR="000D1E9F">
        <w:t>a company</w:t>
      </w:r>
      <w:r>
        <w:t>, and gain authority.</w:t>
      </w:r>
    </w:p>
    <w:p w:rsidR="00970154" w:rsidRPr="00970154" w:rsidRDefault="00642CA3" w:rsidP="00970154">
      <w:pPr>
        <w:pStyle w:val="root-block-node"/>
        <w:spacing w:line="480" w:lineRule="auto"/>
        <w:rPr>
          <w:b/>
        </w:rPr>
      </w:pPr>
      <w:r w:rsidRPr="00970154">
        <w:rPr>
          <w:b/>
        </w:rPr>
        <w:t>Question 2</w:t>
      </w:r>
      <w:bookmarkStart w:id="0" w:name="_GoBack"/>
      <w:bookmarkEnd w:id="0"/>
    </w:p>
    <w:p w:rsidR="007E7913" w:rsidRDefault="00642CA3" w:rsidP="007E7913">
      <w:pPr>
        <w:pStyle w:val="root-block-node"/>
        <w:spacing w:line="480" w:lineRule="auto"/>
        <w:ind w:firstLine="720"/>
      </w:pPr>
      <w:r>
        <w:t>Organizational politics has existed for decades. Social actors use political means to persuade other social actors to achieve their goals. Political approaches differ from influence tactics in organizations, while they have many similarities. Anyone in a f</w:t>
      </w:r>
      <w:r>
        <w:t xml:space="preserve">irm can play organizational politics. </w:t>
      </w:r>
      <w:r w:rsidR="006D4C8F">
        <w:t>Notably, l</w:t>
      </w:r>
      <w:r>
        <w:t xml:space="preserve">eaders usually rely on their political development to achieve work-related objectives, lead a team, overcome leadership </w:t>
      </w:r>
      <w:r w:rsidR="006D4C8F">
        <w:t>problems (Peyton et al. 2019), i</w:t>
      </w:r>
      <w:r>
        <w:t xml:space="preserve">nfluence interpersonally, socially, with sincerity, and </w:t>
      </w:r>
      <w:r>
        <w:t>network to increase the beneficial impact of political talent on people and their companies. Socially conscious leaders watch what others do in public. As a result, they are self-aware and can discern others' motivations and actions. Socially aware leaders</w:t>
      </w:r>
      <w:r>
        <w:t xml:space="preserve"> frequently know what to say and do to influence their workforce successfully. They also know how to boost self-esteem. </w:t>
      </w:r>
      <w:r w:rsidR="006D4C8F">
        <w:t>On the other hand, p</w:t>
      </w:r>
      <w:r>
        <w:t>ersuasive leaders use their interpersonal style to convince others. Their efforts to influence others usually succee</w:t>
      </w:r>
      <w:r>
        <w:t>d because they can put others at ease, develop relationships, and communicate effectively.</w:t>
      </w:r>
    </w:p>
    <w:p w:rsidR="007E7913" w:rsidRDefault="00642CA3" w:rsidP="007E7913">
      <w:pPr>
        <w:pStyle w:val="root-block-node"/>
        <w:spacing w:line="480" w:lineRule="auto"/>
        <w:ind w:firstLine="720"/>
      </w:pPr>
      <w:r>
        <w:lastRenderedPageBreak/>
        <w:t xml:space="preserve"> According to Peyton et al. (2019), networking skills help leaders connect and build relationships with numerous groups. Their contacts often provide them access to </w:t>
      </w:r>
      <w:r>
        <w:t xml:space="preserve">rare and valuable resources. Leaders skilled at networking can use their networks to get work done quickly and gain resources for themselves and their teams. </w:t>
      </w:r>
      <w:r w:rsidR="006D4C8F">
        <w:t>Besides, t</w:t>
      </w:r>
      <w:r>
        <w:t xml:space="preserve">rue leaders are seen as open, transparent, and trustworthy by others. </w:t>
      </w:r>
      <w:r w:rsidR="006D4C8F">
        <w:t>They are also kind and caring since i</w:t>
      </w:r>
      <w:r>
        <w:t>t is easier to trust a leader who is not known for being deceptive or having hidden agendas.</w:t>
      </w:r>
    </w:p>
    <w:p w:rsidR="00970154" w:rsidRDefault="00642CA3" w:rsidP="00970154">
      <w:pPr>
        <w:pStyle w:val="root-block-node"/>
        <w:spacing w:line="480" w:lineRule="auto"/>
        <w:rPr>
          <w:b/>
        </w:rPr>
      </w:pPr>
      <w:r w:rsidRPr="00970154">
        <w:rPr>
          <w:b/>
        </w:rPr>
        <w:t>Question 3</w:t>
      </w:r>
    </w:p>
    <w:p w:rsidR="00970154" w:rsidRPr="00970154" w:rsidRDefault="00970154" w:rsidP="00970154">
      <w:pPr>
        <w:pStyle w:val="root-block-node"/>
        <w:numPr>
          <w:ilvl w:val="0"/>
          <w:numId w:val="4"/>
        </w:numPr>
        <w:spacing w:line="480" w:lineRule="auto"/>
        <w:rPr>
          <w:b/>
        </w:rPr>
      </w:pPr>
    </w:p>
    <w:p w:rsidR="007E7913" w:rsidRDefault="00642CA3" w:rsidP="007E7913">
      <w:pPr>
        <w:pStyle w:val="root-block-node"/>
        <w:spacing w:line="480" w:lineRule="auto"/>
        <w:ind w:firstLine="720"/>
      </w:pPr>
      <w:r>
        <w:t>Management of political behaviors in an organization can be the key to increased performance and employee motivation. Among the stra</w:t>
      </w:r>
      <w:r>
        <w:t>tegies that organizational leadership can apply in managing existing political behaviors include open communication, uncertainty reduction, and creating awareness about those behaviors. Additionally, being a good role model and watching game players are es</w:t>
      </w:r>
      <w:r>
        <w:t>sential for limiting the effects of political behavior. According to Kovach (2020), French and Raven established five power dynamics or bases: coercive legitimate, referent, reward, and expert. Out of these, only coercion is the power source that has a neg</w:t>
      </w:r>
      <w:r>
        <w:t>ative impact.</w:t>
      </w:r>
    </w:p>
    <w:p w:rsidR="007E7913" w:rsidRDefault="00642CA3" w:rsidP="007E7913">
      <w:pPr>
        <w:pStyle w:val="root-block-node"/>
        <w:spacing w:line="480" w:lineRule="auto"/>
        <w:ind w:firstLine="720"/>
      </w:pPr>
      <w:r>
        <w:t>The effects of these types of powers include changes to a person's mental and behavioral state. When people have power, they tend to have a long-term effect on their position and influence among their peers. The psychological state of manager</w:t>
      </w:r>
      <w:r>
        <w:t xml:space="preserve">s, whether powerful or powerless, is permanently impacted by the legacy left by their position of authority. </w:t>
      </w:r>
      <w:r w:rsidR="006D4C8F">
        <w:t>Thus, t</w:t>
      </w:r>
      <w:r>
        <w:t xml:space="preserve">he effects of these powers depend on the source of a leader's power. Their behavior toward their </w:t>
      </w:r>
      <w:r>
        <w:lastRenderedPageBreak/>
        <w:t>employees and their ability to perform effi</w:t>
      </w:r>
      <w:r>
        <w:t xml:space="preserve">ciently can differ significantly. A significant goal can only be achieved with the help of information power. </w:t>
      </w:r>
      <w:r w:rsidR="006D4C8F">
        <w:t>Hence, p</w:t>
      </w:r>
      <w:r>
        <w:t>ower information is described as the power gained by controlling the information required by others to attain that goal.</w:t>
      </w:r>
    </w:p>
    <w:p w:rsidR="00970154" w:rsidRDefault="00970154" w:rsidP="00970154">
      <w:pPr>
        <w:pStyle w:val="root-block-node"/>
        <w:numPr>
          <w:ilvl w:val="0"/>
          <w:numId w:val="4"/>
        </w:numPr>
        <w:spacing w:line="480" w:lineRule="auto"/>
      </w:pPr>
    </w:p>
    <w:p w:rsidR="007E7913" w:rsidRDefault="00642CA3" w:rsidP="007E7913">
      <w:pPr>
        <w:pStyle w:val="root-block-node"/>
        <w:spacing w:line="480" w:lineRule="auto"/>
        <w:ind w:firstLine="720"/>
      </w:pPr>
      <w:r>
        <w:t>Kanter's seven p</w:t>
      </w:r>
      <w:r>
        <w:t>ower symptoms are those elements that can help or support different people in an organization. These symptoms are the ability to intervene for someone in need, get placements, preferred personnel, breach budget limits, acquire above-average raises for staf</w:t>
      </w:r>
      <w:r>
        <w:t xml:space="preserve">f, get issues on the agenda at meetings, early access to information, and have top management seek out one's ideas. </w:t>
      </w:r>
      <w:r w:rsidR="006D4C8F">
        <w:t>On the contrary, t</w:t>
      </w:r>
      <w:r>
        <w:t>he symptoms of powerlessness include excessive supervision, uncompromising commitment to the rules, and a tendency to comp</w:t>
      </w:r>
      <w:r>
        <w:t>lete tasks independently.</w:t>
      </w:r>
    </w:p>
    <w:p w:rsidR="00970154" w:rsidRDefault="00970154" w:rsidP="00970154">
      <w:pPr>
        <w:pStyle w:val="root-block-node"/>
        <w:numPr>
          <w:ilvl w:val="0"/>
          <w:numId w:val="4"/>
        </w:numPr>
        <w:spacing w:line="480" w:lineRule="auto"/>
      </w:pPr>
    </w:p>
    <w:p w:rsidR="009150F4" w:rsidRPr="006D4C8F" w:rsidRDefault="00642CA3" w:rsidP="006D4C8F">
      <w:pPr>
        <w:pStyle w:val="root-block-node"/>
        <w:spacing w:line="480" w:lineRule="auto"/>
        <w:ind w:firstLine="720"/>
      </w:pPr>
      <w:r>
        <w:t>Empowering employees is all about fostering a sense of accountability and building relationships based on trust. It is about taking responsibility and treating others wi</w:t>
      </w:r>
      <w:r w:rsidR="006D4C8F">
        <w:t>th respect. According to Kitani</w:t>
      </w:r>
      <w:r>
        <w:t xml:space="preserve"> (2021), an organization's cu</w:t>
      </w:r>
      <w:r>
        <w:t>lture and employee experience improve when leaders successfully empower their workers and open opportunities. On the other hand, most executives are not sure how to empower their people without giving them a pay boost, a promotion, or complete autonomy and</w:t>
      </w:r>
      <w:r>
        <w:t xml:space="preserve"> empowerment. However, many things a leader may do to encourage employee empowerment, including giving employees a voice, allowing them to work on special initiative</w:t>
      </w:r>
      <w:r w:rsidR="006D4C8F">
        <w:t>s, providing networking chances</w:t>
      </w:r>
      <w:r>
        <w:t>, and providing mentorship possibilities, are all ways to en</w:t>
      </w:r>
      <w:r>
        <w:t>gage employees.</w:t>
      </w:r>
    </w:p>
    <w:p w:rsidR="006D4C8F" w:rsidRDefault="00642CA3">
      <w:pPr>
        <w:spacing w:after="200" w:line="276" w:lineRule="auto"/>
        <w:rPr>
          <w:rFonts w:ascii="Times New Roman" w:hAnsi="Times New Roman" w:cs="Times New Roman"/>
          <w:b/>
          <w:color w:val="000000" w:themeColor="text1"/>
        </w:rPr>
      </w:pPr>
      <w:r>
        <w:rPr>
          <w:rFonts w:ascii="Times New Roman" w:hAnsi="Times New Roman" w:cs="Times New Roman"/>
          <w:b/>
          <w:color w:val="000000" w:themeColor="text1"/>
        </w:rPr>
        <w:br w:type="page"/>
      </w:r>
    </w:p>
    <w:p w:rsidR="009150F4" w:rsidRPr="000B2F06" w:rsidRDefault="00642CA3" w:rsidP="007E7913">
      <w:pPr>
        <w:spacing w:line="480" w:lineRule="auto"/>
        <w:jc w:val="center"/>
        <w:rPr>
          <w:rFonts w:ascii="Times New Roman" w:hAnsi="Times New Roman" w:cs="Times New Roman"/>
          <w:b/>
          <w:color w:val="000000" w:themeColor="text1"/>
        </w:rPr>
      </w:pPr>
      <w:r w:rsidRPr="000B2F06">
        <w:rPr>
          <w:rFonts w:ascii="Times New Roman" w:hAnsi="Times New Roman" w:cs="Times New Roman"/>
          <w:b/>
          <w:color w:val="000000" w:themeColor="text1"/>
        </w:rPr>
        <w:lastRenderedPageBreak/>
        <w:t>References</w:t>
      </w:r>
    </w:p>
    <w:p w:rsidR="006620A9" w:rsidRPr="000B2F06" w:rsidRDefault="00642CA3" w:rsidP="007E7913">
      <w:pPr>
        <w:spacing w:line="480" w:lineRule="auto"/>
        <w:ind w:left="720" w:hanging="720"/>
        <w:rPr>
          <w:rFonts w:ascii="Times New Roman" w:hAnsi="Times New Roman" w:cs="Times New Roman"/>
          <w:b/>
          <w:color w:val="000000" w:themeColor="text1"/>
        </w:rPr>
      </w:pPr>
      <w:r w:rsidRPr="000B2F06">
        <w:rPr>
          <w:rStyle w:val="contenttext"/>
          <w:rFonts w:ascii="Times New Roman" w:hAnsi="Times New Roman" w:cs="Times New Roman"/>
          <w:color w:val="000000" w:themeColor="text1"/>
        </w:rPr>
        <w:t xml:space="preserve">Kitani, K. (2021, March 15). </w:t>
      </w:r>
      <w:r w:rsidRPr="000B2F06">
        <w:rPr>
          <w:rStyle w:val="contenttext"/>
          <w:rFonts w:ascii="Times New Roman" w:hAnsi="Times New Roman" w:cs="Times New Roman"/>
          <w:i/>
          <w:iCs/>
          <w:color w:val="000000" w:themeColor="text1"/>
        </w:rPr>
        <w:t xml:space="preserve">Seven Ways To Empower Your Employees. </w:t>
      </w:r>
      <w:r w:rsidRPr="000B2F06">
        <w:rPr>
          <w:rStyle w:val="contenttext"/>
          <w:rFonts w:ascii="Times New Roman" w:hAnsi="Times New Roman" w:cs="Times New Roman"/>
          <w:color w:val="000000" w:themeColor="text1"/>
        </w:rPr>
        <w:t xml:space="preserve">Training Journal. </w:t>
      </w:r>
      <w:hyperlink r:id="rId7" w:history="1">
        <w:r w:rsidR="006D4C8F" w:rsidRPr="00934BE6">
          <w:rPr>
            <w:rStyle w:val="Hyperlink"/>
            <w:rFonts w:ascii="Times New Roman" w:hAnsi="Times New Roman" w:cs="Times New Roman"/>
          </w:rPr>
          <w:t>https://www.trainingjournal.com/articles/features/seven-ways-empower-your-employees</w:t>
        </w:r>
      </w:hyperlink>
      <w:r w:rsidR="006D4C8F">
        <w:rPr>
          <w:rStyle w:val="contenttext"/>
          <w:rFonts w:ascii="Times New Roman" w:hAnsi="Times New Roman" w:cs="Times New Roman"/>
          <w:color w:val="000000" w:themeColor="text1"/>
        </w:rPr>
        <w:t xml:space="preserve"> </w:t>
      </w:r>
    </w:p>
    <w:p w:rsidR="006620A9" w:rsidRPr="000B2F06" w:rsidRDefault="00642CA3" w:rsidP="007E7913">
      <w:pPr>
        <w:spacing w:line="480" w:lineRule="auto"/>
        <w:ind w:left="720" w:hanging="720"/>
        <w:rPr>
          <w:rFonts w:ascii="Times New Roman" w:hAnsi="Times New Roman" w:cs="Times New Roman"/>
          <w:color w:val="000000" w:themeColor="text1"/>
          <w:shd w:val="clear" w:color="auto" w:fill="FFFFFF"/>
        </w:rPr>
      </w:pPr>
      <w:r w:rsidRPr="000B2F06">
        <w:rPr>
          <w:rFonts w:ascii="Times New Roman" w:hAnsi="Times New Roman" w:cs="Times New Roman"/>
          <w:color w:val="000000" w:themeColor="text1"/>
          <w:shd w:val="clear" w:color="auto" w:fill="FFFFFF"/>
        </w:rPr>
        <w:t>Kovach, M. (2020). Leader Influence: A Research Review of French &amp; Raven’s (1959) Power Dynamics. </w:t>
      </w:r>
      <w:r w:rsidRPr="000B2F06">
        <w:rPr>
          <w:rFonts w:ascii="Times New Roman" w:hAnsi="Times New Roman" w:cs="Times New Roman"/>
          <w:i/>
          <w:iCs/>
          <w:color w:val="000000" w:themeColor="text1"/>
          <w:shd w:val="clear" w:color="auto" w:fill="FFFFFF"/>
        </w:rPr>
        <w:t>The Journal of Values-Based Leadership</w:t>
      </w:r>
      <w:r w:rsidRPr="000B2F06">
        <w:rPr>
          <w:rFonts w:ascii="Times New Roman" w:hAnsi="Times New Roman" w:cs="Times New Roman"/>
          <w:color w:val="000000" w:themeColor="text1"/>
          <w:shd w:val="clear" w:color="auto" w:fill="FFFFFF"/>
        </w:rPr>
        <w:t>, </w:t>
      </w:r>
      <w:r w:rsidRPr="000B2F06">
        <w:rPr>
          <w:rFonts w:ascii="Times New Roman" w:hAnsi="Times New Roman" w:cs="Times New Roman"/>
          <w:i/>
          <w:iCs/>
          <w:color w:val="000000" w:themeColor="text1"/>
          <w:shd w:val="clear" w:color="auto" w:fill="FFFFFF"/>
        </w:rPr>
        <w:t>13</w:t>
      </w:r>
      <w:r w:rsidRPr="000B2F06">
        <w:rPr>
          <w:rFonts w:ascii="Times New Roman" w:hAnsi="Times New Roman" w:cs="Times New Roman"/>
          <w:color w:val="000000" w:themeColor="text1"/>
          <w:shd w:val="clear" w:color="auto" w:fill="FFFFFF"/>
        </w:rPr>
        <w:t>(2), 15.</w:t>
      </w:r>
    </w:p>
    <w:p w:rsidR="006620A9" w:rsidRPr="000B2F06" w:rsidRDefault="00642CA3" w:rsidP="007E7913">
      <w:pPr>
        <w:spacing w:line="480" w:lineRule="auto"/>
        <w:ind w:left="720" w:hanging="720"/>
        <w:rPr>
          <w:rFonts w:ascii="Times New Roman" w:hAnsi="Times New Roman" w:cs="Times New Roman"/>
          <w:color w:val="000000" w:themeColor="text1"/>
          <w:shd w:val="clear" w:color="auto" w:fill="FFFFFF"/>
        </w:rPr>
      </w:pPr>
      <w:r w:rsidRPr="000B2F06">
        <w:rPr>
          <w:rFonts w:ascii="Times New Roman" w:hAnsi="Times New Roman" w:cs="Times New Roman"/>
          <w:color w:val="000000" w:themeColor="text1"/>
          <w:shd w:val="clear" w:color="auto" w:fill="FFFFFF"/>
        </w:rPr>
        <w:t>Peyton, T., Zigarmi, D</w:t>
      </w:r>
      <w:r w:rsidRPr="000B2F06">
        <w:rPr>
          <w:rFonts w:ascii="Times New Roman" w:hAnsi="Times New Roman" w:cs="Times New Roman"/>
          <w:color w:val="000000" w:themeColor="text1"/>
          <w:shd w:val="clear" w:color="auto" w:fill="FFFFFF"/>
        </w:rPr>
        <w:t xml:space="preserve">., &amp; Fowler, S. N. (2019). Examining the relationship between leaders' power use, followers' motivational outlooks, and followers' work intentions. Frontiers in psychology, 9, 2620. </w:t>
      </w:r>
      <w:hyperlink r:id="rId8" w:history="1">
        <w:r w:rsidR="006D4C8F" w:rsidRPr="00934BE6">
          <w:rPr>
            <w:rStyle w:val="Hyperlink"/>
            <w:rFonts w:ascii="Times New Roman" w:hAnsi="Times New Roman" w:cs="Times New Roman"/>
            <w:shd w:val="clear" w:color="auto" w:fill="FFFFFF"/>
          </w:rPr>
          <w:t>https://dx.doi.org/10.3389%2Ffpsyg.2018.02620</w:t>
        </w:r>
      </w:hyperlink>
      <w:r w:rsidR="006D4C8F">
        <w:rPr>
          <w:rFonts w:ascii="Times New Roman" w:hAnsi="Times New Roman" w:cs="Times New Roman"/>
          <w:color w:val="000000" w:themeColor="text1"/>
          <w:shd w:val="clear" w:color="auto" w:fill="FFFFFF"/>
        </w:rPr>
        <w:t xml:space="preserve"> </w:t>
      </w:r>
    </w:p>
    <w:sectPr w:rsidR="006620A9" w:rsidRPr="000B2F06" w:rsidSect="006755E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CA3" w:rsidRDefault="00642CA3">
      <w:r>
        <w:separator/>
      </w:r>
    </w:p>
  </w:endnote>
  <w:endnote w:type="continuationSeparator" w:id="0">
    <w:p w:rsidR="00642CA3" w:rsidRDefault="00642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CA3" w:rsidRDefault="00642CA3">
      <w:r>
        <w:separator/>
      </w:r>
    </w:p>
  </w:footnote>
  <w:footnote w:type="continuationSeparator" w:id="0">
    <w:p w:rsidR="00642CA3" w:rsidRDefault="00642C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62509"/>
      <w:docPartObj>
        <w:docPartGallery w:val="Page Numbers (Top of Page)"/>
        <w:docPartUnique/>
      </w:docPartObj>
    </w:sdtPr>
    <w:sdtEndPr>
      <w:rPr>
        <w:noProof/>
      </w:rPr>
    </w:sdtEndPr>
    <w:sdtContent>
      <w:p w:rsidR="000F6A3E" w:rsidRDefault="00642CA3">
        <w:pPr>
          <w:pStyle w:val="Header"/>
          <w:jc w:val="right"/>
        </w:pPr>
        <w:r>
          <w:fldChar w:fldCharType="begin"/>
        </w:r>
        <w:r>
          <w:instrText xml:space="preserve"> PAGE   \* MERGEFORMAT </w:instrText>
        </w:r>
        <w:r>
          <w:fldChar w:fldCharType="separate"/>
        </w:r>
        <w:r w:rsidR="000D1E9F">
          <w:rPr>
            <w:noProof/>
          </w:rPr>
          <w:t>1</w:t>
        </w:r>
        <w:r>
          <w:rPr>
            <w:noProof/>
          </w:rPr>
          <w:fldChar w:fldCharType="end"/>
        </w:r>
      </w:p>
    </w:sdtContent>
  </w:sdt>
  <w:p w:rsidR="000F6A3E" w:rsidRDefault="000F6A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341E62"/>
    <w:multiLevelType w:val="multilevel"/>
    <w:tmpl w:val="6734D2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EF7F2A"/>
    <w:multiLevelType w:val="multilevel"/>
    <w:tmpl w:val="6734D2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375359"/>
    <w:multiLevelType w:val="multilevel"/>
    <w:tmpl w:val="6734D2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9C3BF5"/>
    <w:multiLevelType w:val="hybridMultilevel"/>
    <w:tmpl w:val="DF94D4E4"/>
    <w:lvl w:ilvl="0" w:tplc="59826284">
      <w:start w:val="1"/>
      <w:numFmt w:val="decimal"/>
      <w:lvlText w:val="%1."/>
      <w:lvlJc w:val="left"/>
      <w:pPr>
        <w:ind w:left="720" w:hanging="360"/>
      </w:pPr>
    </w:lvl>
    <w:lvl w:ilvl="1" w:tplc="B67C60B6" w:tentative="1">
      <w:start w:val="1"/>
      <w:numFmt w:val="lowerLetter"/>
      <w:lvlText w:val="%2."/>
      <w:lvlJc w:val="left"/>
      <w:pPr>
        <w:ind w:left="1440" w:hanging="360"/>
      </w:pPr>
    </w:lvl>
    <w:lvl w:ilvl="2" w:tplc="8FBA514E" w:tentative="1">
      <w:start w:val="1"/>
      <w:numFmt w:val="lowerRoman"/>
      <w:lvlText w:val="%3."/>
      <w:lvlJc w:val="right"/>
      <w:pPr>
        <w:ind w:left="2160" w:hanging="180"/>
      </w:pPr>
    </w:lvl>
    <w:lvl w:ilvl="3" w:tplc="8C587256" w:tentative="1">
      <w:start w:val="1"/>
      <w:numFmt w:val="decimal"/>
      <w:lvlText w:val="%4."/>
      <w:lvlJc w:val="left"/>
      <w:pPr>
        <w:ind w:left="2880" w:hanging="360"/>
      </w:pPr>
    </w:lvl>
    <w:lvl w:ilvl="4" w:tplc="ECFC352C" w:tentative="1">
      <w:start w:val="1"/>
      <w:numFmt w:val="lowerLetter"/>
      <w:lvlText w:val="%5."/>
      <w:lvlJc w:val="left"/>
      <w:pPr>
        <w:ind w:left="3600" w:hanging="360"/>
      </w:pPr>
    </w:lvl>
    <w:lvl w:ilvl="5" w:tplc="3C002CC0" w:tentative="1">
      <w:start w:val="1"/>
      <w:numFmt w:val="lowerRoman"/>
      <w:lvlText w:val="%6."/>
      <w:lvlJc w:val="right"/>
      <w:pPr>
        <w:ind w:left="4320" w:hanging="180"/>
      </w:pPr>
    </w:lvl>
    <w:lvl w:ilvl="6" w:tplc="1706B6CE" w:tentative="1">
      <w:start w:val="1"/>
      <w:numFmt w:val="decimal"/>
      <w:lvlText w:val="%7."/>
      <w:lvlJc w:val="left"/>
      <w:pPr>
        <w:ind w:left="5040" w:hanging="360"/>
      </w:pPr>
    </w:lvl>
    <w:lvl w:ilvl="7" w:tplc="B64E74CE" w:tentative="1">
      <w:start w:val="1"/>
      <w:numFmt w:val="lowerLetter"/>
      <w:lvlText w:val="%8."/>
      <w:lvlJc w:val="left"/>
      <w:pPr>
        <w:ind w:left="5760" w:hanging="360"/>
      </w:pPr>
    </w:lvl>
    <w:lvl w:ilvl="8" w:tplc="5D4A36EE"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B4D"/>
    <w:rsid w:val="000B2F06"/>
    <w:rsid w:val="000D1E9F"/>
    <w:rsid w:val="000F6A3E"/>
    <w:rsid w:val="000F7BC2"/>
    <w:rsid w:val="00140B4D"/>
    <w:rsid w:val="001D5340"/>
    <w:rsid w:val="001E1D65"/>
    <w:rsid w:val="002467C4"/>
    <w:rsid w:val="0026552C"/>
    <w:rsid w:val="002B2446"/>
    <w:rsid w:val="004466FB"/>
    <w:rsid w:val="00494B12"/>
    <w:rsid w:val="004D2748"/>
    <w:rsid w:val="005B26F3"/>
    <w:rsid w:val="00642CA3"/>
    <w:rsid w:val="006620A9"/>
    <w:rsid w:val="006755E0"/>
    <w:rsid w:val="006D4C8F"/>
    <w:rsid w:val="0076485F"/>
    <w:rsid w:val="007E7913"/>
    <w:rsid w:val="00862041"/>
    <w:rsid w:val="008D2784"/>
    <w:rsid w:val="008E144D"/>
    <w:rsid w:val="009150F4"/>
    <w:rsid w:val="00923D5B"/>
    <w:rsid w:val="00934BE6"/>
    <w:rsid w:val="00970154"/>
    <w:rsid w:val="009870D3"/>
    <w:rsid w:val="00A87539"/>
    <w:rsid w:val="00B252D7"/>
    <w:rsid w:val="00CE3B43"/>
    <w:rsid w:val="00D04B2D"/>
    <w:rsid w:val="00F46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35D78"/>
  <w15:docId w15:val="{03733C1F-7B4E-492E-9420-3A6F9EC8C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52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text">
    <w:name w:val="contenttext"/>
    <w:basedOn w:val="DefaultParagraphFont"/>
    <w:rsid w:val="005B26F3"/>
  </w:style>
  <w:style w:type="paragraph" w:styleId="ListParagraph">
    <w:name w:val="List Paragraph"/>
    <w:basedOn w:val="Normal"/>
    <w:uiPriority w:val="34"/>
    <w:qFormat/>
    <w:rsid w:val="0026552C"/>
    <w:pPr>
      <w:ind w:left="720"/>
      <w:contextualSpacing/>
    </w:pPr>
  </w:style>
  <w:style w:type="character" w:styleId="Strong">
    <w:name w:val="Strong"/>
    <w:basedOn w:val="DefaultParagraphFont"/>
    <w:uiPriority w:val="22"/>
    <w:qFormat/>
    <w:rsid w:val="004466FB"/>
    <w:rPr>
      <w:b/>
      <w:bCs/>
    </w:rPr>
  </w:style>
  <w:style w:type="character" w:customStyle="1" w:styleId="apple-converted-space">
    <w:name w:val="apple-converted-space"/>
    <w:basedOn w:val="DefaultParagraphFont"/>
    <w:rsid w:val="004466FB"/>
  </w:style>
  <w:style w:type="character" w:styleId="Hyperlink">
    <w:name w:val="Hyperlink"/>
    <w:basedOn w:val="DefaultParagraphFont"/>
    <w:uiPriority w:val="99"/>
    <w:unhideWhenUsed/>
    <w:rsid w:val="009150F4"/>
    <w:rPr>
      <w:color w:val="0000FF" w:themeColor="hyperlink"/>
      <w:u w:val="single"/>
    </w:rPr>
  </w:style>
  <w:style w:type="paragraph" w:customStyle="1" w:styleId="root-block-node">
    <w:name w:val="root-block-node"/>
    <w:basedOn w:val="Normal"/>
    <w:rsid w:val="007E7913"/>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F6A3E"/>
    <w:pPr>
      <w:tabs>
        <w:tab w:val="center" w:pos="4680"/>
        <w:tab w:val="right" w:pos="9360"/>
      </w:tabs>
    </w:pPr>
  </w:style>
  <w:style w:type="character" w:customStyle="1" w:styleId="HeaderChar">
    <w:name w:val="Header Char"/>
    <w:basedOn w:val="DefaultParagraphFont"/>
    <w:link w:val="Header"/>
    <w:uiPriority w:val="99"/>
    <w:rsid w:val="000F6A3E"/>
    <w:rPr>
      <w:sz w:val="24"/>
      <w:szCs w:val="24"/>
    </w:rPr>
  </w:style>
  <w:style w:type="paragraph" w:styleId="Footer">
    <w:name w:val="footer"/>
    <w:basedOn w:val="Normal"/>
    <w:link w:val="FooterChar"/>
    <w:uiPriority w:val="99"/>
    <w:unhideWhenUsed/>
    <w:rsid w:val="000F6A3E"/>
    <w:pPr>
      <w:tabs>
        <w:tab w:val="center" w:pos="4680"/>
        <w:tab w:val="right" w:pos="9360"/>
      </w:tabs>
    </w:pPr>
  </w:style>
  <w:style w:type="character" w:customStyle="1" w:styleId="FooterChar">
    <w:name w:val="Footer Char"/>
    <w:basedOn w:val="DefaultParagraphFont"/>
    <w:link w:val="Footer"/>
    <w:uiPriority w:val="99"/>
    <w:rsid w:val="000F6A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x.doi.org/10.3389%2Ffpsyg.2018.02620" TargetMode="External"/><Relationship Id="rId3" Type="http://schemas.openxmlformats.org/officeDocument/2006/relationships/settings" Target="settings.xml"/><Relationship Id="rId7" Type="http://schemas.openxmlformats.org/officeDocument/2006/relationships/hyperlink" Target="https://www.trainingjournal.com/articles/features/seven-ways-empower-your-employe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13</cp:revision>
  <dcterms:created xsi:type="dcterms:W3CDTF">2021-10-18T10:52:00Z</dcterms:created>
  <dcterms:modified xsi:type="dcterms:W3CDTF">2021-10-18T13:43:00Z</dcterms:modified>
</cp:coreProperties>
</file>